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B3F" w:rsidRPr="00A56B3F" w:rsidRDefault="00A56B3F" w:rsidP="007639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uk-UA" w:eastAsia="ru-UA"/>
        </w:rPr>
        <w:t>Як розраховується мінімальна плата за доставку газу у 202</w:t>
      </w:r>
      <w:r w:rsidR="0076399E" w:rsidRPr="0076399E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RU" w:eastAsia="ru-UA"/>
        </w:rPr>
        <w:t>4</w:t>
      </w:r>
      <w:r w:rsidRPr="00A56B3F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uk-UA" w:eastAsia="ru-UA"/>
        </w:rPr>
        <w:t xml:space="preserve"> році?</w:t>
      </w:r>
    </w:p>
    <w:p w:rsidR="00A56B3F" w:rsidRPr="00A56B3F" w:rsidRDefault="00A56B3F" w:rsidP="0076399E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Для споживачів газу з нульовим чи мінімальним споживанням або тих, хто користується газом менше 9 місяців, державним регулятором (НКРЕКП) затверджений порядок розрахунку мінімального платежу за доставку газу. Він регламентується Постановою НКРЕКП № 580 від 6 березня 2020 року та вимогами Кодексу ГРМ.</w:t>
      </w:r>
    </w:p>
    <w:p w:rsidR="00A56B3F" w:rsidRPr="00A56B3F" w:rsidRDefault="00A56B3F" w:rsidP="0076399E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У 202</w:t>
      </w:r>
      <w:r w:rsidR="0076399E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4</w:t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 році мінімальна плата за розподіл газу для мешканців Дніпра та Дніпровського району залишається незмінною та складає від 3,51 грн до 28,26 грн на місяць в залежності від газового обладнання, яке встановлене у помешканні.</w:t>
      </w:r>
    </w:p>
    <w:p w:rsidR="00A56B3F" w:rsidRPr="00A56B3F" w:rsidRDefault="00A56B3F" w:rsidP="0076399E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За основу для розрахунку мінімальної вартості послуг з доставки береться обсяг газу, який визначається Оператором ГРМ, виходячи з фактичного обсягу спожитого клієнтами палива у минулий газовий рік. Однак згідно чинного законодавства цей обсяг не може бути меншим за: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8" name="Рисунок 8" descr="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39 куб. м – для побутових споживачів, які використовують природний газ тільки для приготування їжі;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7" name="Рисунок 7" descr="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126 куб. м – для побутових споживачів, які використовують природний газ для підігріву води та приготування їжі;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6" name="Рисунок 6" descr="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314 куб. м – для побутових споживачів, які використовують природний газ комплексно, у тому числі для опалення, або об’єкта споживача, що не є побутовим.</w:t>
      </w:r>
    </w:p>
    <w:p w:rsidR="00A56B3F" w:rsidRPr="00A56B3F" w:rsidRDefault="00A56B3F" w:rsidP="0076399E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Зазначимо, що мінімальну плату за доставку природного газу затверджено для наступних категорій споживачів: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5" name="Рисунок 5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нові споживачі та/або домогосподарства, що мають період споживання природного газу менший за дев'ять місяців;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4" name="Рисунок 4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домогосподарства, які тривалий час не користувались газом, в тому числі яким припинено розподіл газу шляхом опломбування, але вони не </w:t>
      </w:r>
      <w:proofErr w:type="spellStart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від’єднані</w:t>
      </w:r>
      <w:proofErr w:type="spellEnd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 від системи газопостачання і не подавали заяву на розірвання договору на розподіл.</w:t>
      </w:r>
    </w:p>
    <w:p w:rsidR="00A56B3F" w:rsidRPr="00A56B3F" w:rsidRDefault="00A56B3F" w:rsidP="0076399E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Враховуючи також, що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з</w:t>
      </w:r>
      <w:proofErr w:type="spellStart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>гідно</w:t>
      </w:r>
      <w:proofErr w:type="spellEnd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 xml:space="preserve"> з </w:t>
      </w:r>
      <w:proofErr w:type="spellStart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>Постановою</w:t>
      </w:r>
      <w:proofErr w:type="spellEnd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 xml:space="preserve"> НКРЕКП </w:t>
      </w:r>
      <w:proofErr w:type="spellStart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>від</w:t>
      </w:r>
      <w:proofErr w:type="spellEnd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 xml:space="preserve"> 30 </w:t>
      </w:r>
      <w:proofErr w:type="spellStart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>грудня</w:t>
      </w:r>
      <w:proofErr w:type="spellEnd"/>
      <w:r w:rsidRPr="00A56B3F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 xml:space="preserve"> 2022 року №1944</w:t>
      </w:r>
      <w:r w:rsidR="00A9424A" w:rsidRPr="00A9424A">
        <w:rPr>
          <w:rFonts w:ascii="inherit" w:eastAsia="Times New Roman" w:hAnsi="inherit" w:cs="Segoe UI Historic"/>
          <w:color w:val="050505"/>
          <w:sz w:val="23"/>
          <w:szCs w:val="23"/>
          <w:lang w:eastAsia="ru-UA"/>
        </w:rPr>
        <w:t xml:space="preserve"> для Дн</w:t>
      </w:r>
      <w:proofErr w:type="spellStart"/>
      <w:r w:rsidR="00A9424A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іпровської</w:t>
      </w:r>
      <w:proofErr w:type="spellEnd"/>
      <w:r w:rsidR="00A9424A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 філії ТОВ «Газмережі» </w:t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затверджено тариф на розподіл газу у розмірі 1,08 грн за 1 куб газу з ПДВ, розмір мінімальної плати для мешканців Дніпра та Дніпровського району в залежності від наявності газового обладнання розраховується наступним чином: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3" name="Рисунок 3" descr="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домогосподарство з газовою плитою: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39 куб. м * 1,08 грн / 12 міс = 3,51 грн (на місяць)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2" name="Рисунок 2" descr="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домогосподарство з плитою та газовою колонкою: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126 куб. м * 1,08 грн / 12 міс = 11,34 грн (на місяць)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 w:eastAsia="ru-UA"/>
        </w:rPr>
        <w:drawing>
          <wp:inline distT="0" distB="0" distL="0" distR="0">
            <wp:extent cx="156210" cy="156210"/>
            <wp:effectExtent l="0" t="0" r="0" b="0"/>
            <wp:docPr id="1" name="Рисунок 1" descr="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домогосподарство з автономним опаленням: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314 куб. м * 1,08 грн / 12 міс = 28,26 грн (на місяць)</w:t>
      </w:r>
    </w:p>
    <w:p w:rsidR="00A56B3F" w:rsidRPr="009E48AD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uk-UA" w:eastAsia="ru-UA"/>
        </w:rPr>
      </w:pPr>
      <w:r w:rsidRPr="009E48A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uk-UA" w:eastAsia="ru-UA"/>
        </w:rPr>
        <w:t>Зверніть увагу!</w:t>
      </w:r>
    </w:p>
    <w:p w:rsidR="00A56B3F" w:rsidRPr="00A56B3F" w:rsidRDefault="00A56B3F" w:rsidP="007639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</w:pP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Для всіх інших споживачів вартість послуг доставки газу розраховується індивідуально. Розмір оплати у 202</w:t>
      </w:r>
      <w:r w:rsidR="0076399E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4</w:t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 році залежить тільки від обсягів споживання за минулий газовий рік, тобто за період з 1 жовтня 202</w:t>
      </w:r>
      <w:r w:rsidR="0076399E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2</w:t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 року по 30 вересня 202</w:t>
      </w:r>
      <w:r w:rsidR="0076399E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>3</w:t>
      </w:r>
      <w:r w:rsidRPr="00A56B3F">
        <w:rPr>
          <w:rFonts w:ascii="inherit" w:eastAsia="Times New Roman" w:hAnsi="inherit" w:cs="Segoe UI Historic"/>
          <w:color w:val="050505"/>
          <w:sz w:val="23"/>
          <w:szCs w:val="23"/>
          <w:lang w:val="uk-UA" w:eastAsia="ru-UA"/>
        </w:rPr>
        <w:t xml:space="preserve"> року. Сума кубів газу, спожитого за рік, множиться на тариф на розподіл (доставку). Результат ділиться на 12 рівних платежів, які сплачуються щомісячно впродовж року.</w:t>
      </w:r>
    </w:p>
    <w:p w:rsidR="00A56B3F" w:rsidRPr="00A56B3F" w:rsidRDefault="00A56B3F" w:rsidP="0076399E">
      <w:pPr>
        <w:rPr>
          <w:lang w:val="uk-UA"/>
        </w:rPr>
      </w:pPr>
    </w:p>
    <w:sectPr w:rsidR="00A56B3F" w:rsidRPr="00A5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3F"/>
    <w:rsid w:val="003A4DA7"/>
    <w:rsid w:val="0076399E"/>
    <w:rsid w:val="009E48AD"/>
    <w:rsid w:val="00A56B3F"/>
    <w:rsid w:val="00A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9A5"/>
  <w15:chartTrackingRefBased/>
  <w15:docId w15:val="{01215771-32C0-423D-9361-40EA7BAC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2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1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2</cp:revision>
  <dcterms:created xsi:type="dcterms:W3CDTF">2023-07-10T05:56:00Z</dcterms:created>
  <dcterms:modified xsi:type="dcterms:W3CDTF">2024-01-11T12:25:00Z</dcterms:modified>
</cp:coreProperties>
</file>